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20" w:type="dxa"/>
        <w:tblInd w:w="-645" w:type="dxa"/>
        <w:tblLook w:val="04A0" w:firstRow="1" w:lastRow="0" w:firstColumn="1" w:lastColumn="0" w:noHBand="0" w:noVBand="1"/>
      </w:tblPr>
      <w:tblGrid>
        <w:gridCol w:w="2610"/>
        <w:gridCol w:w="7740"/>
        <w:gridCol w:w="3870"/>
      </w:tblGrid>
      <w:tr w:rsidR="008A714B" w:rsidTr="00285684">
        <w:trPr>
          <w:trHeight w:val="420"/>
        </w:trPr>
        <w:tc>
          <w:tcPr>
            <w:tcW w:w="14220" w:type="dxa"/>
            <w:gridSpan w:val="3"/>
            <w:tcBorders>
              <w:top w:val="double" w:sz="4" w:space="0" w:color="auto"/>
              <w:left w:val="double" w:sz="4" w:space="0" w:color="auto"/>
              <w:bottom w:val="double" w:sz="4" w:space="0" w:color="auto"/>
              <w:right w:val="double" w:sz="4" w:space="0" w:color="auto"/>
            </w:tcBorders>
            <w:shd w:val="clear" w:color="auto" w:fill="E7E6E6" w:themeFill="background2"/>
          </w:tcPr>
          <w:p w:rsidR="00285684" w:rsidRPr="00285684" w:rsidRDefault="00285684" w:rsidP="00B940D1">
            <w:pPr>
              <w:tabs>
                <w:tab w:val="left" w:pos="12912"/>
              </w:tabs>
              <w:jc w:val="center"/>
              <w:rPr>
                <w:b/>
                <w:color w:val="BFBFBF" w:themeColor="background1" w:themeShade="BF"/>
                <w:sz w:val="6"/>
                <w:szCs w:val="6"/>
              </w:rPr>
            </w:pPr>
            <w:r w:rsidRPr="00285684">
              <w:rPr>
                <w:b/>
                <w:color w:val="BFBFBF" w:themeColor="background1" w:themeShade="BF"/>
                <w:sz w:val="6"/>
                <w:szCs w:val="6"/>
              </w:rPr>
              <w:t>.</w:t>
            </w:r>
          </w:p>
          <w:p w:rsidR="008A714B" w:rsidRPr="00B940D1" w:rsidRDefault="008A714B" w:rsidP="00B940D1">
            <w:pPr>
              <w:tabs>
                <w:tab w:val="left" w:pos="12912"/>
              </w:tabs>
              <w:jc w:val="center"/>
              <w:rPr>
                <w:b/>
                <w:sz w:val="23"/>
                <w:szCs w:val="23"/>
              </w:rPr>
            </w:pPr>
            <w:r w:rsidRPr="00B940D1">
              <w:rPr>
                <w:b/>
                <w:sz w:val="23"/>
                <w:szCs w:val="23"/>
              </w:rPr>
              <w:t>Models of Identifying Specific Learning Disability</w:t>
            </w:r>
          </w:p>
        </w:tc>
      </w:tr>
      <w:tr w:rsidR="008A714B" w:rsidTr="00B940D1">
        <w:trPr>
          <w:trHeight w:val="1590"/>
        </w:trPr>
        <w:tc>
          <w:tcPr>
            <w:tcW w:w="14220" w:type="dxa"/>
            <w:gridSpan w:val="3"/>
            <w:tcBorders>
              <w:top w:val="double" w:sz="4" w:space="0" w:color="auto"/>
              <w:left w:val="double" w:sz="4" w:space="0" w:color="auto"/>
              <w:bottom w:val="double" w:sz="4" w:space="0" w:color="auto"/>
              <w:right w:val="double" w:sz="4" w:space="0" w:color="auto"/>
            </w:tcBorders>
            <w:shd w:val="clear" w:color="auto" w:fill="E7E6E6" w:themeFill="background2"/>
          </w:tcPr>
          <w:p w:rsidR="001D7CE0" w:rsidRPr="00B940D1" w:rsidRDefault="001D7CE0" w:rsidP="008A714B">
            <w:pPr>
              <w:jc w:val="both"/>
              <w:rPr>
                <w:b/>
                <w:sz w:val="6"/>
                <w:szCs w:val="6"/>
              </w:rPr>
            </w:pPr>
          </w:p>
          <w:p w:rsidR="008A714B" w:rsidRDefault="008A714B" w:rsidP="008A714B">
            <w:pPr>
              <w:jc w:val="both"/>
              <w:rPr>
                <w:sz w:val="21"/>
                <w:szCs w:val="21"/>
              </w:rPr>
            </w:pPr>
            <w:r w:rsidRPr="008A714B">
              <w:rPr>
                <w:b/>
                <w:sz w:val="21"/>
                <w:szCs w:val="21"/>
              </w:rPr>
              <w:t>Specific Learning Disability (SLD) Defined</w:t>
            </w:r>
            <w:r w:rsidR="00B940D1">
              <w:rPr>
                <w:b/>
                <w:sz w:val="21"/>
                <w:szCs w:val="21"/>
              </w:rPr>
              <w:t>:</w:t>
            </w:r>
            <w:r w:rsidRPr="008A714B">
              <w:rPr>
                <w:sz w:val="21"/>
                <w:szCs w:val="21"/>
              </w:rPr>
              <w:t xml:space="preserve"> </w:t>
            </w:r>
            <w:r w:rsidRPr="002C675C">
              <w:rPr>
                <w:sz w:val="21"/>
                <w:szCs w:val="21"/>
                <w:u w:val="single"/>
              </w:rPr>
              <w:t>A disorder in one or more of the basic psychological processes</w:t>
            </w:r>
            <w:r w:rsidRPr="008A714B">
              <w:rPr>
                <w:sz w:val="21"/>
                <w:szCs w:val="21"/>
              </w:rPr>
              <w:t xml:space="preserve"> involved in understanding or in using language, spoken or written, that may have manifested itself in the imperfect ability to listen, think, speak, read, write, spell, or do mathematical calculations, including conditions such as perceptual disabilities, brain injury, minimal brain dysfunction, dyslexia, and developmental aphasia. </w:t>
            </w:r>
            <w:r w:rsidRPr="001D7CE0">
              <w:rPr>
                <w:sz w:val="21"/>
                <w:szCs w:val="21"/>
                <w:u w:val="single"/>
              </w:rPr>
              <w:t>The basic psychological processes include</w:t>
            </w:r>
            <w:r w:rsidRPr="008A714B">
              <w:rPr>
                <w:sz w:val="21"/>
                <w:szCs w:val="21"/>
              </w:rPr>
              <w:t xml:space="preserve"> attention, visual processing, auditory processing, sensory-motor skills, and cognitive abilities including association, conceptualization and expression. </w:t>
            </w:r>
            <w:r w:rsidRPr="001D7CE0">
              <w:rPr>
                <w:sz w:val="21"/>
                <w:szCs w:val="21"/>
                <w:u w:val="single"/>
              </w:rPr>
              <w:t>Specific Learning Disabilities do not include</w:t>
            </w:r>
            <w:r w:rsidRPr="008A714B">
              <w:rPr>
                <w:sz w:val="21"/>
                <w:szCs w:val="21"/>
              </w:rPr>
              <w:t xml:space="preserve"> learning problems that are primarily the result of visual, hearing, or motor disabilities, of intellectual disability, of emotional disturbance, or of environmental, cultural, or economic disadvantage.</w:t>
            </w:r>
            <w:r w:rsidR="00B940D1">
              <w:rPr>
                <w:sz w:val="21"/>
                <w:szCs w:val="21"/>
              </w:rPr>
              <w:t xml:space="preserve"> </w:t>
            </w:r>
            <w:r w:rsidR="00B940D1" w:rsidRPr="00285684">
              <w:rPr>
                <w:i/>
                <w:sz w:val="21"/>
                <w:szCs w:val="21"/>
              </w:rPr>
              <w:t>*Note: the criteria listed above</w:t>
            </w:r>
            <w:r w:rsidR="007024AC">
              <w:rPr>
                <w:i/>
                <w:sz w:val="21"/>
                <w:szCs w:val="21"/>
              </w:rPr>
              <w:t>,</w:t>
            </w:r>
            <w:r w:rsidR="00B940D1" w:rsidRPr="00285684">
              <w:rPr>
                <w:i/>
                <w:sz w:val="21"/>
                <w:szCs w:val="21"/>
              </w:rPr>
              <w:t xml:space="preserve"> including presence of a processing deficit and consideration of exclusionary criteria</w:t>
            </w:r>
            <w:r w:rsidR="007024AC">
              <w:rPr>
                <w:i/>
                <w:sz w:val="21"/>
                <w:szCs w:val="21"/>
              </w:rPr>
              <w:t>,</w:t>
            </w:r>
            <w:r w:rsidR="00B940D1" w:rsidRPr="00285684">
              <w:rPr>
                <w:i/>
                <w:sz w:val="21"/>
                <w:szCs w:val="21"/>
              </w:rPr>
              <w:t xml:space="preserve"> applies to all three models of identification</w:t>
            </w:r>
            <w:r w:rsidR="00285684">
              <w:rPr>
                <w:i/>
                <w:sz w:val="21"/>
                <w:szCs w:val="21"/>
              </w:rPr>
              <w:t>: Discrepancy Model, Response to Intervention, and Patterns of Strength and Weakness.</w:t>
            </w:r>
          </w:p>
          <w:p w:rsidR="001D7CE0" w:rsidRPr="00B940D1" w:rsidRDefault="001D7CE0" w:rsidP="008A714B">
            <w:pPr>
              <w:jc w:val="both"/>
              <w:rPr>
                <w:b/>
                <w:sz w:val="6"/>
                <w:szCs w:val="6"/>
              </w:rPr>
            </w:pPr>
          </w:p>
        </w:tc>
      </w:tr>
      <w:tr w:rsidR="00E85EE7" w:rsidTr="008618E8">
        <w:trPr>
          <w:trHeight w:val="402"/>
        </w:trPr>
        <w:tc>
          <w:tcPr>
            <w:tcW w:w="2610" w:type="dxa"/>
            <w:tcBorders>
              <w:top w:val="double" w:sz="4" w:space="0" w:color="auto"/>
              <w:left w:val="double" w:sz="4" w:space="0" w:color="auto"/>
              <w:bottom w:val="double" w:sz="4" w:space="0" w:color="auto"/>
              <w:right w:val="double" w:sz="4" w:space="0" w:color="auto"/>
            </w:tcBorders>
            <w:shd w:val="clear" w:color="auto" w:fill="E7E6E6" w:themeFill="background2"/>
          </w:tcPr>
          <w:p w:rsidR="008A714B" w:rsidRDefault="00A86978" w:rsidP="008A714B">
            <w:pPr>
              <w:rPr>
                <w:b/>
                <w:color w:val="FFFFFF" w:themeColor="background1"/>
                <w:sz w:val="10"/>
                <w:szCs w:val="10"/>
              </w:rPr>
            </w:pPr>
            <w:r w:rsidRPr="00A86978">
              <w:rPr>
                <w:b/>
                <w:color w:val="FFFFFF" w:themeColor="background1"/>
                <w:sz w:val="10"/>
                <w:szCs w:val="10"/>
              </w:rPr>
              <w:t>.</w:t>
            </w:r>
          </w:p>
          <w:p w:rsidR="00E85EE7" w:rsidRPr="008A714B" w:rsidRDefault="00E85EE7" w:rsidP="008A714B">
            <w:pPr>
              <w:jc w:val="center"/>
              <w:rPr>
                <w:b/>
                <w:color w:val="FFFFFF" w:themeColor="background1"/>
                <w:sz w:val="21"/>
                <w:szCs w:val="21"/>
              </w:rPr>
            </w:pPr>
            <w:r w:rsidRPr="00BD17E1">
              <w:rPr>
                <w:b/>
              </w:rPr>
              <w:t>Models of Identifying</w:t>
            </w:r>
            <w:r w:rsidR="008A714B">
              <w:rPr>
                <w:b/>
              </w:rPr>
              <w:t xml:space="preserve"> SLD</w:t>
            </w:r>
          </w:p>
        </w:tc>
        <w:tc>
          <w:tcPr>
            <w:tcW w:w="7740" w:type="dxa"/>
            <w:tcBorders>
              <w:top w:val="double" w:sz="4" w:space="0" w:color="auto"/>
              <w:left w:val="double" w:sz="4" w:space="0" w:color="auto"/>
              <w:bottom w:val="double" w:sz="4" w:space="0" w:color="auto"/>
              <w:right w:val="double" w:sz="4" w:space="0" w:color="auto"/>
            </w:tcBorders>
            <w:shd w:val="clear" w:color="auto" w:fill="E7E6E6" w:themeFill="background2"/>
          </w:tcPr>
          <w:p w:rsidR="00D46A08" w:rsidRPr="008A714B" w:rsidRDefault="00D46A08" w:rsidP="00E85EE7">
            <w:pPr>
              <w:jc w:val="center"/>
              <w:rPr>
                <w:b/>
                <w:sz w:val="10"/>
                <w:szCs w:val="10"/>
              </w:rPr>
            </w:pPr>
          </w:p>
          <w:p w:rsidR="00E85EE7" w:rsidRPr="00BD17E1" w:rsidRDefault="00D46A08" w:rsidP="00E85EE7">
            <w:pPr>
              <w:jc w:val="center"/>
              <w:rPr>
                <w:b/>
              </w:rPr>
            </w:pPr>
            <w:r w:rsidRPr="00BD17E1">
              <w:rPr>
                <w:b/>
              </w:rPr>
              <w:t>Brief Overview</w:t>
            </w:r>
          </w:p>
        </w:tc>
        <w:tc>
          <w:tcPr>
            <w:tcW w:w="3870" w:type="dxa"/>
            <w:tcBorders>
              <w:top w:val="double" w:sz="4" w:space="0" w:color="auto"/>
              <w:left w:val="double" w:sz="4" w:space="0" w:color="auto"/>
              <w:bottom w:val="double" w:sz="4" w:space="0" w:color="auto"/>
              <w:right w:val="double" w:sz="4" w:space="0" w:color="auto"/>
            </w:tcBorders>
            <w:shd w:val="clear" w:color="auto" w:fill="E7E6E6" w:themeFill="background2"/>
          </w:tcPr>
          <w:p w:rsidR="008A714B" w:rsidRPr="008A714B" w:rsidRDefault="008A714B" w:rsidP="008A714B">
            <w:pPr>
              <w:rPr>
                <w:b/>
                <w:sz w:val="10"/>
                <w:szCs w:val="10"/>
              </w:rPr>
            </w:pPr>
          </w:p>
          <w:p w:rsidR="00E85EE7" w:rsidRPr="00BD17E1" w:rsidRDefault="008A714B" w:rsidP="00D46A08">
            <w:pPr>
              <w:jc w:val="center"/>
              <w:rPr>
                <w:b/>
              </w:rPr>
            </w:pPr>
            <w:r>
              <w:rPr>
                <w:b/>
              </w:rPr>
              <w:t>Additional</w:t>
            </w:r>
            <w:r w:rsidR="00DF76A7" w:rsidRPr="00BD17E1">
              <w:rPr>
                <w:b/>
              </w:rPr>
              <w:t xml:space="preserve"> Considerations </w:t>
            </w:r>
          </w:p>
        </w:tc>
      </w:tr>
      <w:tr w:rsidR="00E85EE7" w:rsidTr="008618E8">
        <w:trPr>
          <w:trHeight w:val="2517"/>
        </w:trPr>
        <w:tc>
          <w:tcPr>
            <w:tcW w:w="2610"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rsidR="00E85EE7" w:rsidRDefault="00E85EE7" w:rsidP="008A714B"/>
          <w:p w:rsidR="00E85EE7" w:rsidRDefault="00E85EE7" w:rsidP="00E85EE7">
            <w:pPr>
              <w:jc w:val="center"/>
            </w:pPr>
          </w:p>
          <w:p w:rsidR="00E85EE7" w:rsidRDefault="00E85EE7" w:rsidP="00E85EE7">
            <w:pPr>
              <w:jc w:val="center"/>
            </w:pPr>
          </w:p>
          <w:p w:rsidR="00E85EE7" w:rsidRDefault="00E85EE7" w:rsidP="00E85EE7">
            <w:pPr>
              <w:jc w:val="center"/>
            </w:pPr>
            <w:r>
              <w:t>Discrepancy Model</w:t>
            </w:r>
          </w:p>
        </w:tc>
        <w:tc>
          <w:tcPr>
            <w:tcW w:w="7740" w:type="dxa"/>
            <w:tcBorders>
              <w:top w:val="double" w:sz="4" w:space="0" w:color="auto"/>
              <w:left w:val="double" w:sz="4" w:space="0" w:color="auto"/>
              <w:bottom w:val="double" w:sz="4" w:space="0" w:color="auto"/>
              <w:right w:val="double" w:sz="4" w:space="0" w:color="auto"/>
            </w:tcBorders>
            <w:shd w:val="clear" w:color="auto" w:fill="DEEAF6" w:themeFill="accent1" w:themeFillTint="33"/>
          </w:tcPr>
          <w:p w:rsidR="005F4FAD" w:rsidRPr="00B940D1" w:rsidRDefault="005F4FAD">
            <w:pPr>
              <w:rPr>
                <w:sz w:val="6"/>
                <w:szCs w:val="6"/>
              </w:rPr>
            </w:pPr>
          </w:p>
          <w:p w:rsidR="00E85EE7" w:rsidRPr="00A86978" w:rsidRDefault="00E85EE7">
            <w:pPr>
              <w:rPr>
                <w:sz w:val="21"/>
                <w:szCs w:val="21"/>
              </w:rPr>
            </w:pPr>
            <w:r w:rsidRPr="00A86978">
              <w:rPr>
                <w:sz w:val="21"/>
                <w:szCs w:val="21"/>
              </w:rPr>
              <w:t xml:space="preserve">The IQ-achievement discrepancy model assesses whether there is a significant difference between a student’s scores on a test of general intelligence (e.g., an IQ test such as the WISC-IV) and scores obtained on </w:t>
            </w:r>
            <w:r w:rsidR="00315DBE">
              <w:rPr>
                <w:sz w:val="21"/>
                <w:szCs w:val="21"/>
              </w:rPr>
              <w:t>a test of academic achievement (e.g., the Woodcock-</w:t>
            </w:r>
            <w:r w:rsidRPr="00A86978">
              <w:rPr>
                <w:sz w:val="21"/>
                <w:szCs w:val="21"/>
              </w:rPr>
              <w:t xml:space="preserve">Johnson Achievement Test). </w:t>
            </w:r>
          </w:p>
          <w:p w:rsidR="00E85EE7" w:rsidRPr="00B940D1" w:rsidRDefault="00E85EE7">
            <w:pPr>
              <w:rPr>
                <w:sz w:val="6"/>
                <w:szCs w:val="6"/>
              </w:rPr>
            </w:pPr>
          </w:p>
          <w:p w:rsidR="00E85EE7" w:rsidRPr="00A86978" w:rsidRDefault="00E85EE7" w:rsidP="00437108">
            <w:pPr>
              <w:rPr>
                <w:sz w:val="21"/>
                <w:szCs w:val="21"/>
              </w:rPr>
            </w:pPr>
            <w:r w:rsidRPr="00A86978">
              <w:rPr>
                <w:sz w:val="21"/>
                <w:szCs w:val="21"/>
              </w:rPr>
              <w:t xml:space="preserve">The IQ-achievement discrepancy model is the approach traditionally used to identify children with learning disabilities. If a student’s score on the IQ test is at least two standard deviations (23-30 points) higher than his or her scores on an achievement test, the student is </w:t>
            </w:r>
            <w:r w:rsidR="007112D6">
              <w:rPr>
                <w:sz w:val="21"/>
                <w:szCs w:val="21"/>
              </w:rPr>
              <w:t>identified</w:t>
            </w:r>
            <w:r w:rsidRPr="00A86978">
              <w:rPr>
                <w:sz w:val="21"/>
                <w:szCs w:val="21"/>
              </w:rPr>
              <w:t xml:space="preserve"> as having a significant discrepancy between IQ and achievement and, therefore, as having a </w:t>
            </w:r>
            <w:r w:rsidR="00437108">
              <w:rPr>
                <w:sz w:val="21"/>
                <w:szCs w:val="21"/>
              </w:rPr>
              <w:t>S</w:t>
            </w:r>
            <w:r w:rsidR="007112D6">
              <w:rPr>
                <w:sz w:val="21"/>
                <w:szCs w:val="21"/>
              </w:rPr>
              <w:t xml:space="preserve">pecific </w:t>
            </w:r>
            <w:r w:rsidR="00437108">
              <w:rPr>
                <w:sz w:val="21"/>
                <w:szCs w:val="21"/>
              </w:rPr>
              <w:t>L</w:t>
            </w:r>
            <w:r w:rsidRPr="00A86978">
              <w:rPr>
                <w:sz w:val="21"/>
                <w:szCs w:val="21"/>
              </w:rPr>
              <w:t xml:space="preserve">earning </w:t>
            </w:r>
            <w:r w:rsidR="00437108">
              <w:rPr>
                <w:sz w:val="21"/>
                <w:szCs w:val="21"/>
              </w:rPr>
              <w:t>D</w:t>
            </w:r>
            <w:r w:rsidRPr="00A86978">
              <w:rPr>
                <w:sz w:val="21"/>
                <w:szCs w:val="21"/>
              </w:rPr>
              <w:t>isability.</w:t>
            </w:r>
          </w:p>
        </w:tc>
        <w:tc>
          <w:tcPr>
            <w:tcW w:w="3870" w:type="dxa"/>
            <w:vMerge w:val="restart"/>
            <w:tcBorders>
              <w:top w:val="double" w:sz="4" w:space="0" w:color="auto"/>
              <w:left w:val="double" w:sz="4" w:space="0" w:color="auto"/>
              <w:right w:val="double" w:sz="4" w:space="0" w:color="auto"/>
            </w:tcBorders>
            <w:shd w:val="clear" w:color="auto" w:fill="E7E6E6" w:themeFill="background2"/>
          </w:tcPr>
          <w:p w:rsidR="00BD17E1" w:rsidRPr="00B940D1" w:rsidRDefault="00BD17E1">
            <w:pPr>
              <w:rPr>
                <w:sz w:val="6"/>
                <w:szCs w:val="6"/>
              </w:rPr>
            </w:pPr>
          </w:p>
          <w:p w:rsidR="00E85EE7" w:rsidRPr="00A86978" w:rsidRDefault="00E85EE7" w:rsidP="00D46A08">
            <w:pPr>
              <w:rPr>
                <w:sz w:val="21"/>
                <w:szCs w:val="21"/>
              </w:rPr>
            </w:pPr>
            <w:r w:rsidRPr="00A86978">
              <w:rPr>
                <w:sz w:val="21"/>
                <w:szCs w:val="21"/>
              </w:rPr>
              <w:t xml:space="preserve">Although the law allows schools the option of using RTI and PSW procedures as part of the evaluation procedures for special education eligibility, comprehensive assessment is still required to ensure that </w:t>
            </w:r>
            <w:r w:rsidR="007112D6">
              <w:rPr>
                <w:sz w:val="21"/>
                <w:szCs w:val="21"/>
              </w:rPr>
              <w:t xml:space="preserve">IEP team members </w:t>
            </w:r>
            <w:r w:rsidRPr="00A86978">
              <w:rPr>
                <w:sz w:val="21"/>
                <w:szCs w:val="21"/>
              </w:rPr>
              <w:t xml:space="preserve">have carefully </w:t>
            </w:r>
            <w:r w:rsidR="007112D6">
              <w:rPr>
                <w:sz w:val="21"/>
                <w:szCs w:val="21"/>
              </w:rPr>
              <w:t>evaluated</w:t>
            </w:r>
            <w:r w:rsidR="00D46A08" w:rsidRPr="00A86978">
              <w:rPr>
                <w:sz w:val="21"/>
                <w:szCs w:val="21"/>
              </w:rPr>
              <w:t xml:space="preserve"> </w:t>
            </w:r>
            <w:r w:rsidR="007112D6">
              <w:rPr>
                <w:sz w:val="21"/>
                <w:szCs w:val="21"/>
              </w:rPr>
              <w:t>and considered a</w:t>
            </w:r>
            <w:r w:rsidRPr="00A86978">
              <w:rPr>
                <w:sz w:val="21"/>
                <w:szCs w:val="21"/>
              </w:rPr>
              <w:t>ll relevant aspects of a student's perfor</w:t>
            </w:r>
            <w:bookmarkStart w:id="0" w:name="_GoBack"/>
            <w:bookmarkEnd w:id="0"/>
            <w:r w:rsidRPr="00A86978">
              <w:rPr>
                <w:sz w:val="21"/>
                <w:szCs w:val="21"/>
              </w:rPr>
              <w:t>mance and history</w:t>
            </w:r>
            <w:r w:rsidR="007112D6">
              <w:rPr>
                <w:sz w:val="21"/>
                <w:szCs w:val="21"/>
              </w:rPr>
              <w:t>. Comprehensive assessment must occur</w:t>
            </w:r>
            <w:r w:rsidRPr="00A86978">
              <w:rPr>
                <w:sz w:val="21"/>
                <w:szCs w:val="21"/>
              </w:rPr>
              <w:t xml:space="preserve"> prior to determining that a </w:t>
            </w:r>
            <w:r w:rsidR="007112D6">
              <w:rPr>
                <w:sz w:val="21"/>
                <w:szCs w:val="21"/>
              </w:rPr>
              <w:t>student has a disability which impacts progress in general curr</w:t>
            </w:r>
            <w:r w:rsidR="008A3F1B">
              <w:rPr>
                <w:sz w:val="21"/>
                <w:szCs w:val="21"/>
              </w:rPr>
              <w:t xml:space="preserve">iculum, thus making him or </w:t>
            </w:r>
            <w:r w:rsidR="007112D6">
              <w:rPr>
                <w:sz w:val="21"/>
                <w:szCs w:val="21"/>
              </w:rPr>
              <w:t>her eligible for special education services</w:t>
            </w:r>
            <w:r w:rsidRPr="00A86978">
              <w:rPr>
                <w:sz w:val="21"/>
                <w:szCs w:val="21"/>
              </w:rPr>
              <w:t>.</w:t>
            </w:r>
          </w:p>
          <w:p w:rsidR="001D7CE0" w:rsidRPr="00B940D1" w:rsidRDefault="001D7CE0" w:rsidP="00DD3B83">
            <w:pPr>
              <w:rPr>
                <w:sz w:val="6"/>
                <w:szCs w:val="6"/>
              </w:rPr>
            </w:pPr>
          </w:p>
          <w:p w:rsidR="006C568F" w:rsidRPr="008618E8" w:rsidRDefault="00285684" w:rsidP="00DD3B83">
            <w:pPr>
              <w:rPr>
                <w:b/>
                <w:sz w:val="21"/>
                <w:szCs w:val="21"/>
              </w:rPr>
            </w:pPr>
            <w:r w:rsidRPr="008618E8">
              <w:rPr>
                <w:b/>
                <w:noProof/>
                <w:sz w:val="21"/>
                <w:szCs w:val="21"/>
              </w:rPr>
              <w:drawing>
                <wp:anchor distT="0" distB="0" distL="114300" distR="114300" simplePos="0" relativeHeight="251659264" behindDoc="0" locked="0" layoutInCell="1" allowOverlap="1" wp14:anchorId="7F343726" wp14:editId="1134AD16">
                  <wp:simplePos x="0" y="0"/>
                  <wp:positionH relativeFrom="column">
                    <wp:posOffset>334645</wp:posOffset>
                  </wp:positionH>
                  <wp:positionV relativeFrom="paragraph">
                    <wp:posOffset>1389380</wp:posOffset>
                  </wp:positionV>
                  <wp:extent cx="1576705"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erSelpa_Logos_10-16-1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705" cy="1219200"/>
                          </a:xfrm>
                          <a:prstGeom prst="rect">
                            <a:avLst/>
                          </a:prstGeom>
                        </pic:spPr>
                      </pic:pic>
                    </a:graphicData>
                  </a:graphic>
                  <wp14:sizeRelH relativeFrom="margin">
                    <wp14:pctWidth>0</wp14:pctWidth>
                  </wp14:sizeRelH>
                  <wp14:sizeRelV relativeFrom="margin">
                    <wp14:pctHeight>0</wp14:pctHeight>
                  </wp14:sizeRelV>
                </wp:anchor>
              </w:drawing>
            </w:r>
            <w:r w:rsidRPr="008618E8">
              <w:rPr>
                <w:b/>
                <w:noProof/>
                <w:sz w:val="21"/>
                <w:szCs w:val="21"/>
              </w:rPr>
              <w:drawing>
                <wp:anchor distT="0" distB="0" distL="114300" distR="114300" simplePos="0" relativeHeight="251658240" behindDoc="0" locked="0" layoutInCell="1" allowOverlap="1" wp14:anchorId="03A8DD12" wp14:editId="0035A2A8">
                  <wp:simplePos x="0" y="0"/>
                  <wp:positionH relativeFrom="column">
                    <wp:posOffset>582295</wp:posOffset>
                  </wp:positionH>
                  <wp:positionV relativeFrom="paragraph">
                    <wp:posOffset>646430</wp:posOffset>
                  </wp:positionV>
                  <wp:extent cx="952500" cy="1000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PA_logo_RGB-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1000760"/>
                          </a:xfrm>
                          <a:prstGeom prst="rect">
                            <a:avLst/>
                          </a:prstGeom>
                        </pic:spPr>
                      </pic:pic>
                    </a:graphicData>
                  </a:graphic>
                  <wp14:sizeRelH relativeFrom="margin">
                    <wp14:pctWidth>0</wp14:pctWidth>
                  </wp14:sizeRelH>
                  <wp14:sizeRelV relativeFrom="margin">
                    <wp14:pctHeight>0</wp14:pctHeight>
                  </wp14:sizeRelV>
                </wp:anchor>
              </w:drawing>
            </w:r>
            <w:r w:rsidR="006C568F" w:rsidRPr="008618E8">
              <w:rPr>
                <w:b/>
                <w:sz w:val="21"/>
                <w:szCs w:val="21"/>
              </w:rPr>
              <w:t xml:space="preserve">Final recommendations regarding eligibility and services will be determined by the IEP team. </w:t>
            </w:r>
          </w:p>
        </w:tc>
      </w:tr>
      <w:tr w:rsidR="00E85EE7" w:rsidTr="008618E8">
        <w:trPr>
          <w:trHeight w:val="2490"/>
        </w:trPr>
        <w:tc>
          <w:tcPr>
            <w:tcW w:w="2610" w:type="dxa"/>
            <w:tcBorders>
              <w:top w:val="double" w:sz="4" w:space="0" w:color="auto"/>
              <w:left w:val="double" w:sz="4" w:space="0" w:color="auto"/>
              <w:bottom w:val="double" w:sz="4" w:space="0" w:color="auto"/>
              <w:right w:val="double" w:sz="4" w:space="0" w:color="auto"/>
            </w:tcBorders>
            <w:shd w:val="clear" w:color="auto" w:fill="FBE4D5" w:themeFill="accent2" w:themeFillTint="33"/>
          </w:tcPr>
          <w:p w:rsidR="005F4FAD" w:rsidRDefault="005F4FAD" w:rsidP="00E85EE7">
            <w:pPr>
              <w:jc w:val="center"/>
            </w:pPr>
          </w:p>
          <w:p w:rsidR="005F4FAD" w:rsidRDefault="005F4FAD" w:rsidP="00285684"/>
          <w:p w:rsidR="005F4FAD" w:rsidRDefault="005F4FAD" w:rsidP="00E85EE7">
            <w:pPr>
              <w:jc w:val="center"/>
            </w:pPr>
          </w:p>
          <w:p w:rsidR="00E85EE7" w:rsidRDefault="00E85EE7" w:rsidP="00E85EE7">
            <w:pPr>
              <w:jc w:val="center"/>
            </w:pPr>
            <w:r>
              <w:t>Response to Intervention (RtI) Model</w:t>
            </w:r>
          </w:p>
        </w:tc>
        <w:tc>
          <w:tcPr>
            <w:tcW w:w="7740" w:type="dxa"/>
            <w:tcBorders>
              <w:top w:val="double" w:sz="4" w:space="0" w:color="auto"/>
              <w:left w:val="double" w:sz="4" w:space="0" w:color="auto"/>
              <w:bottom w:val="double" w:sz="4" w:space="0" w:color="auto"/>
              <w:right w:val="double" w:sz="4" w:space="0" w:color="auto"/>
            </w:tcBorders>
            <w:shd w:val="clear" w:color="auto" w:fill="FBE4D5" w:themeFill="accent2" w:themeFillTint="33"/>
          </w:tcPr>
          <w:p w:rsidR="005F4FAD" w:rsidRPr="00B940D1" w:rsidRDefault="005F4FAD">
            <w:pPr>
              <w:rPr>
                <w:sz w:val="6"/>
                <w:szCs w:val="6"/>
              </w:rPr>
            </w:pPr>
          </w:p>
          <w:p w:rsidR="00E85EE7" w:rsidRPr="00A86978" w:rsidRDefault="00437108">
            <w:pPr>
              <w:rPr>
                <w:sz w:val="21"/>
                <w:szCs w:val="21"/>
              </w:rPr>
            </w:pPr>
            <w:r>
              <w:rPr>
                <w:sz w:val="21"/>
                <w:szCs w:val="21"/>
              </w:rPr>
              <w:t xml:space="preserve">The term </w:t>
            </w:r>
            <w:r w:rsidR="00613E82" w:rsidRPr="00A86978">
              <w:rPr>
                <w:sz w:val="21"/>
                <w:szCs w:val="21"/>
              </w:rPr>
              <w:t xml:space="preserve">Response to Intervention (RtI) refers to a process that emphasizes how well a student responds to </w:t>
            </w:r>
            <w:r>
              <w:rPr>
                <w:sz w:val="21"/>
                <w:szCs w:val="21"/>
              </w:rPr>
              <w:t xml:space="preserve">meaningful </w:t>
            </w:r>
            <w:r w:rsidR="00613E82" w:rsidRPr="00A86978">
              <w:rPr>
                <w:sz w:val="21"/>
                <w:szCs w:val="21"/>
              </w:rPr>
              <w:t>changes in instruction. The essential elements of</w:t>
            </w:r>
            <w:r>
              <w:rPr>
                <w:sz w:val="21"/>
                <w:szCs w:val="21"/>
              </w:rPr>
              <w:t xml:space="preserve"> the</w:t>
            </w:r>
            <w:r w:rsidR="00613E82" w:rsidRPr="00A86978">
              <w:rPr>
                <w:sz w:val="21"/>
                <w:szCs w:val="21"/>
              </w:rPr>
              <w:t xml:space="preserve"> </w:t>
            </w:r>
            <w:r>
              <w:rPr>
                <w:sz w:val="21"/>
                <w:szCs w:val="21"/>
              </w:rPr>
              <w:t>Rt</w:t>
            </w:r>
            <w:r w:rsidR="00613E82" w:rsidRPr="00A86978">
              <w:rPr>
                <w:sz w:val="21"/>
                <w:szCs w:val="21"/>
              </w:rPr>
              <w:t>I approach are: the provision of scientific, research-based instruction and interventions in general education; monitoring and measurement of student progress in response to the instruction and interventions; and use of these measures of student progress to inform instruction and make educational decisions.</w:t>
            </w:r>
          </w:p>
          <w:p w:rsidR="00613E82" w:rsidRPr="00B940D1" w:rsidRDefault="00613E82">
            <w:pPr>
              <w:rPr>
                <w:sz w:val="6"/>
                <w:szCs w:val="6"/>
              </w:rPr>
            </w:pPr>
          </w:p>
          <w:p w:rsidR="00613E82" w:rsidRPr="00A86978" w:rsidRDefault="00613E82" w:rsidP="00315DBE">
            <w:pPr>
              <w:rPr>
                <w:sz w:val="21"/>
                <w:szCs w:val="21"/>
              </w:rPr>
            </w:pPr>
            <w:r w:rsidRPr="00A86978">
              <w:rPr>
                <w:sz w:val="21"/>
                <w:szCs w:val="21"/>
              </w:rPr>
              <w:t xml:space="preserve">A student is identified as having a </w:t>
            </w:r>
            <w:r w:rsidR="00DF76A7" w:rsidRPr="00A86978">
              <w:rPr>
                <w:sz w:val="21"/>
                <w:szCs w:val="21"/>
              </w:rPr>
              <w:t>Specific</w:t>
            </w:r>
            <w:r w:rsidR="00437108">
              <w:rPr>
                <w:sz w:val="21"/>
                <w:szCs w:val="21"/>
              </w:rPr>
              <w:t xml:space="preserve"> Learning Disability if he or </w:t>
            </w:r>
            <w:r w:rsidRPr="00A86978">
              <w:rPr>
                <w:sz w:val="21"/>
                <w:szCs w:val="21"/>
              </w:rPr>
              <w:t>she displays insufficient response to scientif</w:t>
            </w:r>
            <w:r w:rsidR="00DF76A7" w:rsidRPr="00A86978">
              <w:rPr>
                <w:sz w:val="21"/>
                <w:szCs w:val="21"/>
              </w:rPr>
              <w:t xml:space="preserve">ic, research-based intervention </w:t>
            </w:r>
            <w:r w:rsidR="00437108">
              <w:rPr>
                <w:sz w:val="21"/>
                <w:szCs w:val="21"/>
              </w:rPr>
              <w:t xml:space="preserve">as well </w:t>
            </w:r>
            <w:r w:rsidR="00315DBE">
              <w:rPr>
                <w:sz w:val="21"/>
                <w:szCs w:val="21"/>
              </w:rPr>
              <w:t>as insufficient progress toward</w:t>
            </w:r>
            <w:r w:rsidR="00437108">
              <w:rPr>
                <w:sz w:val="21"/>
                <w:szCs w:val="21"/>
              </w:rPr>
              <w:t xml:space="preserve"> grade-level</w:t>
            </w:r>
            <w:r w:rsidR="00315DBE">
              <w:rPr>
                <w:sz w:val="21"/>
                <w:szCs w:val="21"/>
              </w:rPr>
              <w:t xml:space="preserve"> standards</w:t>
            </w:r>
            <w:r w:rsidR="00DF76A7" w:rsidRPr="00A86978">
              <w:rPr>
                <w:sz w:val="21"/>
                <w:szCs w:val="21"/>
              </w:rPr>
              <w:t>.</w:t>
            </w:r>
          </w:p>
        </w:tc>
        <w:tc>
          <w:tcPr>
            <w:tcW w:w="3870" w:type="dxa"/>
            <w:vMerge/>
            <w:tcBorders>
              <w:left w:val="double" w:sz="4" w:space="0" w:color="auto"/>
              <w:right w:val="double" w:sz="4" w:space="0" w:color="auto"/>
            </w:tcBorders>
            <w:shd w:val="clear" w:color="auto" w:fill="E7E6E6" w:themeFill="background2"/>
          </w:tcPr>
          <w:p w:rsidR="00E85EE7" w:rsidRPr="00A86978" w:rsidRDefault="00E85EE7">
            <w:pPr>
              <w:rPr>
                <w:sz w:val="21"/>
                <w:szCs w:val="21"/>
              </w:rPr>
            </w:pPr>
          </w:p>
        </w:tc>
      </w:tr>
      <w:tr w:rsidR="00E85EE7" w:rsidTr="008618E8">
        <w:trPr>
          <w:trHeight w:val="2760"/>
        </w:trPr>
        <w:tc>
          <w:tcPr>
            <w:tcW w:w="2610" w:type="dxa"/>
            <w:tcBorders>
              <w:top w:val="double" w:sz="4" w:space="0" w:color="auto"/>
              <w:left w:val="double" w:sz="4" w:space="0" w:color="auto"/>
              <w:bottom w:val="double" w:sz="4" w:space="0" w:color="auto"/>
              <w:right w:val="double" w:sz="4" w:space="0" w:color="auto"/>
            </w:tcBorders>
            <w:shd w:val="clear" w:color="auto" w:fill="FFF2CC" w:themeFill="accent4" w:themeFillTint="33"/>
          </w:tcPr>
          <w:p w:rsidR="005F4FAD" w:rsidRDefault="005F4FAD" w:rsidP="00E85EE7">
            <w:pPr>
              <w:jc w:val="center"/>
            </w:pPr>
          </w:p>
          <w:p w:rsidR="001D7CE0" w:rsidRDefault="001D7CE0" w:rsidP="00E85EE7">
            <w:pPr>
              <w:jc w:val="center"/>
            </w:pPr>
          </w:p>
          <w:p w:rsidR="001D7CE0" w:rsidRDefault="001D7CE0" w:rsidP="00E85EE7">
            <w:pPr>
              <w:jc w:val="center"/>
            </w:pPr>
          </w:p>
          <w:p w:rsidR="001D7CE0" w:rsidRDefault="001D7CE0" w:rsidP="00E85EE7">
            <w:pPr>
              <w:jc w:val="center"/>
            </w:pPr>
          </w:p>
          <w:p w:rsidR="00E85EE7" w:rsidRDefault="00E85EE7" w:rsidP="00E85EE7">
            <w:pPr>
              <w:jc w:val="center"/>
            </w:pPr>
            <w:r>
              <w:t>Patterns of Strength and Weakness (PSW) Model</w:t>
            </w:r>
          </w:p>
        </w:tc>
        <w:tc>
          <w:tcPr>
            <w:tcW w:w="7740" w:type="dxa"/>
            <w:tcBorders>
              <w:top w:val="double" w:sz="4" w:space="0" w:color="auto"/>
              <w:left w:val="double" w:sz="4" w:space="0" w:color="auto"/>
              <w:bottom w:val="double" w:sz="4" w:space="0" w:color="auto"/>
              <w:right w:val="double" w:sz="4" w:space="0" w:color="auto"/>
            </w:tcBorders>
            <w:shd w:val="clear" w:color="auto" w:fill="FFF2CC" w:themeFill="accent4" w:themeFillTint="33"/>
          </w:tcPr>
          <w:p w:rsidR="005F4FAD" w:rsidRPr="00B940D1" w:rsidRDefault="005F4FAD" w:rsidP="005F4FAD">
            <w:pPr>
              <w:rPr>
                <w:sz w:val="6"/>
                <w:szCs w:val="6"/>
              </w:rPr>
            </w:pPr>
          </w:p>
          <w:p w:rsidR="00266160" w:rsidRDefault="00B003FF" w:rsidP="00266160">
            <w:pPr>
              <w:rPr>
                <w:sz w:val="21"/>
                <w:szCs w:val="21"/>
              </w:rPr>
            </w:pPr>
            <w:r w:rsidRPr="00A86978">
              <w:rPr>
                <w:sz w:val="21"/>
                <w:szCs w:val="21"/>
              </w:rPr>
              <w:t xml:space="preserve">The Patterns of Strengths and Weaknesses model refers to </w:t>
            </w:r>
            <w:r w:rsidR="00266160">
              <w:rPr>
                <w:sz w:val="21"/>
                <w:szCs w:val="21"/>
              </w:rPr>
              <w:t>a</w:t>
            </w:r>
            <w:r w:rsidRPr="00A86978">
              <w:rPr>
                <w:sz w:val="21"/>
                <w:szCs w:val="21"/>
              </w:rPr>
              <w:t xml:space="preserve"> </w:t>
            </w:r>
            <w:r w:rsidR="00266160">
              <w:rPr>
                <w:sz w:val="21"/>
                <w:szCs w:val="21"/>
              </w:rPr>
              <w:t xml:space="preserve">thorough </w:t>
            </w:r>
            <w:r w:rsidRPr="00A86978">
              <w:rPr>
                <w:sz w:val="21"/>
                <w:szCs w:val="21"/>
              </w:rPr>
              <w:t xml:space="preserve">examination </w:t>
            </w:r>
            <w:r w:rsidR="005F4FAD" w:rsidRPr="00A86978">
              <w:rPr>
                <w:sz w:val="21"/>
                <w:szCs w:val="21"/>
              </w:rPr>
              <w:t xml:space="preserve">of a student’s </w:t>
            </w:r>
            <w:r w:rsidR="00266160">
              <w:rPr>
                <w:sz w:val="21"/>
                <w:szCs w:val="21"/>
              </w:rPr>
              <w:t xml:space="preserve">basic psychological processes (i.e. visual, auditory, memory, attention, etc.) </w:t>
            </w:r>
            <w:r w:rsidR="005F4FAD" w:rsidRPr="00A86978">
              <w:rPr>
                <w:sz w:val="21"/>
                <w:szCs w:val="21"/>
              </w:rPr>
              <w:t xml:space="preserve">using a range of </w:t>
            </w:r>
            <w:r w:rsidR="00266160">
              <w:rPr>
                <w:sz w:val="21"/>
                <w:szCs w:val="21"/>
              </w:rPr>
              <w:t xml:space="preserve">information gathered through </w:t>
            </w:r>
            <w:r w:rsidR="005F4FAD" w:rsidRPr="00A86978">
              <w:rPr>
                <w:sz w:val="21"/>
                <w:szCs w:val="21"/>
              </w:rPr>
              <w:t>standardized</w:t>
            </w:r>
            <w:r w:rsidR="00266160">
              <w:rPr>
                <w:sz w:val="21"/>
                <w:szCs w:val="21"/>
              </w:rPr>
              <w:t xml:space="preserve"> assessment (WISC-IV, WJ-IV Cog), criterion referenced</w:t>
            </w:r>
            <w:r w:rsidRPr="00A86978">
              <w:rPr>
                <w:sz w:val="21"/>
                <w:szCs w:val="21"/>
              </w:rPr>
              <w:t xml:space="preserve"> </w:t>
            </w:r>
            <w:r w:rsidR="00D46A08" w:rsidRPr="00A86978">
              <w:rPr>
                <w:sz w:val="21"/>
                <w:szCs w:val="21"/>
              </w:rPr>
              <w:t>assessment</w:t>
            </w:r>
            <w:r w:rsidR="00266160">
              <w:rPr>
                <w:sz w:val="21"/>
                <w:szCs w:val="21"/>
              </w:rPr>
              <w:t xml:space="preserve"> (i.e. DIBELS) and curriculum-based assessment</w:t>
            </w:r>
            <w:r w:rsidR="00D46A08" w:rsidRPr="00A86978">
              <w:rPr>
                <w:sz w:val="21"/>
                <w:szCs w:val="21"/>
              </w:rPr>
              <w:t xml:space="preserve"> tools</w:t>
            </w:r>
            <w:r w:rsidRPr="00A86978">
              <w:rPr>
                <w:sz w:val="21"/>
                <w:szCs w:val="21"/>
              </w:rPr>
              <w:t xml:space="preserve">. </w:t>
            </w:r>
          </w:p>
          <w:p w:rsidR="00266160" w:rsidRPr="00B940D1" w:rsidRDefault="00266160" w:rsidP="00266160">
            <w:pPr>
              <w:rPr>
                <w:sz w:val="6"/>
                <w:szCs w:val="6"/>
              </w:rPr>
            </w:pPr>
          </w:p>
          <w:p w:rsidR="00266160" w:rsidRPr="00A86978" w:rsidRDefault="00B003FF" w:rsidP="008618E8">
            <w:pPr>
              <w:rPr>
                <w:sz w:val="21"/>
                <w:szCs w:val="21"/>
              </w:rPr>
            </w:pPr>
            <w:r w:rsidRPr="00A86978">
              <w:rPr>
                <w:sz w:val="21"/>
                <w:szCs w:val="21"/>
              </w:rPr>
              <w:t>To qualify</w:t>
            </w:r>
            <w:r w:rsidR="00266160">
              <w:rPr>
                <w:sz w:val="21"/>
                <w:szCs w:val="21"/>
              </w:rPr>
              <w:t xml:space="preserve"> as a student with a Specific Learning Disability</w:t>
            </w:r>
            <w:r w:rsidR="00437108">
              <w:rPr>
                <w:sz w:val="21"/>
                <w:szCs w:val="21"/>
              </w:rPr>
              <w:t xml:space="preserve">, </w:t>
            </w:r>
            <w:r w:rsidRPr="00A86978">
              <w:rPr>
                <w:sz w:val="21"/>
                <w:szCs w:val="21"/>
              </w:rPr>
              <w:t xml:space="preserve">the student must </w:t>
            </w:r>
            <w:r w:rsidR="00266160">
              <w:rPr>
                <w:sz w:val="21"/>
                <w:szCs w:val="21"/>
              </w:rPr>
              <w:t>display</w:t>
            </w:r>
            <w:r w:rsidR="00266160">
              <w:t xml:space="preserve"> </w:t>
            </w:r>
            <w:r w:rsidR="00266160" w:rsidRPr="00266160">
              <w:rPr>
                <w:sz w:val="21"/>
                <w:szCs w:val="21"/>
              </w:rPr>
              <w:t>a measured weakness in one or more of the basic psychological processes related to the specific performance</w:t>
            </w:r>
            <w:r w:rsidR="00266160">
              <w:rPr>
                <w:sz w:val="21"/>
                <w:szCs w:val="21"/>
              </w:rPr>
              <w:t xml:space="preserve"> and/or </w:t>
            </w:r>
            <w:r w:rsidR="00266160" w:rsidRPr="00266160">
              <w:rPr>
                <w:sz w:val="21"/>
                <w:szCs w:val="21"/>
              </w:rPr>
              <w:t>achievement weakness</w:t>
            </w:r>
            <w:r w:rsidR="00266160">
              <w:rPr>
                <w:sz w:val="21"/>
                <w:szCs w:val="21"/>
              </w:rPr>
              <w:t xml:space="preserve"> (area of concern as reported by observation and assessment data)</w:t>
            </w:r>
            <w:r w:rsidR="008618E8">
              <w:rPr>
                <w:sz w:val="21"/>
                <w:szCs w:val="21"/>
              </w:rPr>
              <w:t xml:space="preserve">. Student must also display </w:t>
            </w:r>
            <w:r w:rsidRPr="00A86978">
              <w:rPr>
                <w:sz w:val="21"/>
                <w:szCs w:val="21"/>
              </w:rPr>
              <w:t>strength</w:t>
            </w:r>
            <w:r w:rsidR="00266160">
              <w:rPr>
                <w:sz w:val="21"/>
                <w:szCs w:val="21"/>
              </w:rPr>
              <w:t xml:space="preserve"> in one or more unrelated or minimally related process</w:t>
            </w:r>
            <w:r w:rsidR="008618E8">
              <w:rPr>
                <w:sz w:val="21"/>
                <w:szCs w:val="21"/>
              </w:rPr>
              <w:t>es</w:t>
            </w:r>
            <w:r w:rsidR="00266160">
              <w:rPr>
                <w:sz w:val="21"/>
                <w:szCs w:val="21"/>
              </w:rPr>
              <w:t>.</w:t>
            </w:r>
          </w:p>
        </w:tc>
        <w:tc>
          <w:tcPr>
            <w:tcW w:w="3870" w:type="dxa"/>
            <w:vMerge/>
            <w:tcBorders>
              <w:left w:val="double" w:sz="4" w:space="0" w:color="auto"/>
              <w:bottom w:val="double" w:sz="4" w:space="0" w:color="auto"/>
              <w:right w:val="double" w:sz="4" w:space="0" w:color="auto"/>
            </w:tcBorders>
            <w:shd w:val="clear" w:color="auto" w:fill="E7E6E6" w:themeFill="background2"/>
          </w:tcPr>
          <w:p w:rsidR="00E85EE7" w:rsidRPr="00A86978" w:rsidRDefault="00E85EE7">
            <w:pPr>
              <w:rPr>
                <w:sz w:val="21"/>
                <w:szCs w:val="21"/>
              </w:rPr>
            </w:pPr>
          </w:p>
        </w:tc>
      </w:tr>
    </w:tbl>
    <w:p w:rsidR="00F43405" w:rsidRDefault="00F43405" w:rsidP="00D57F27"/>
    <w:sectPr w:rsidR="00F43405" w:rsidSect="00285684">
      <w:pgSz w:w="15840" w:h="12240" w:orient="landscape"/>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E7"/>
    <w:rsid w:val="001D7CE0"/>
    <w:rsid w:val="00266160"/>
    <w:rsid w:val="00285684"/>
    <w:rsid w:val="002C675C"/>
    <w:rsid w:val="00315DBE"/>
    <w:rsid w:val="0040175C"/>
    <w:rsid w:val="00437108"/>
    <w:rsid w:val="00467D40"/>
    <w:rsid w:val="005F4FAD"/>
    <w:rsid w:val="00613E82"/>
    <w:rsid w:val="00631D9C"/>
    <w:rsid w:val="006C568F"/>
    <w:rsid w:val="007024AC"/>
    <w:rsid w:val="007112D6"/>
    <w:rsid w:val="008618E8"/>
    <w:rsid w:val="008A3F1B"/>
    <w:rsid w:val="008A714B"/>
    <w:rsid w:val="009E3B31"/>
    <w:rsid w:val="00A86978"/>
    <w:rsid w:val="00B003FF"/>
    <w:rsid w:val="00B940D1"/>
    <w:rsid w:val="00BD17E1"/>
    <w:rsid w:val="00C7113F"/>
    <w:rsid w:val="00D46A08"/>
    <w:rsid w:val="00D57F27"/>
    <w:rsid w:val="00DB3D0A"/>
    <w:rsid w:val="00DD3B83"/>
    <w:rsid w:val="00DF76A7"/>
    <w:rsid w:val="00E85EE7"/>
    <w:rsid w:val="00F4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0654-AA2A-47DA-861E-4E6988F8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6424-9EF0-4B2B-8F65-2497FCF4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Keith</dc:creator>
  <cp:keywords/>
  <dc:description/>
  <cp:lastModifiedBy>Alison Rose</cp:lastModifiedBy>
  <cp:revision>2</cp:revision>
  <cp:lastPrinted>2014-12-17T20:42:00Z</cp:lastPrinted>
  <dcterms:created xsi:type="dcterms:W3CDTF">2015-04-07T19:40:00Z</dcterms:created>
  <dcterms:modified xsi:type="dcterms:W3CDTF">2015-04-07T19:40:00Z</dcterms:modified>
</cp:coreProperties>
</file>